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709"/>
        <w:jc w:val="right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>
      <w:pPr>
        <w:pStyle w:val="Normal"/>
        <w:spacing w:lineRule="auto" w:line="240" w:before="0" w:after="0"/>
        <w:ind w:firstLine="709"/>
        <w:jc w:val="right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государственной программе </w:t>
      </w:r>
    </w:p>
    <w:p>
      <w:pPr>
        <w:pStyle w:val="Normal"/>
        <w:spacing w:lineRule="auto" w:line="240" w:before="0" w:after="0"/>
        <w:ind w:firstLine="709"/>
        <w:jc w:val="right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промышленности, </w:t>
      </w:r>
    </w:p>
    <w:p>
      <w:pPr>
        <w:pStyle w:val="Normal"/>
        <w:spacing w:lineRule="atLeast" w:line="315"/>
        <w:ind w:firstLine="709"/>
        <w:jc w:val="right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транспорта и связи Брянской области» 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расчета значений показателей (индикаторов)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(индикаторы) государственной программы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Значение индикатора № 1 «Индекс промышленного производства по обрабатывающим производствам за исследуемый период» определяются </w:t>
      </w:r>
      <w:r>
        <w:rPr>
          <w:rFonts w:ascii="Times New Roman" w:hAnsi="Times New Roman"/>
          <w:spacing w:val="2"/>
          <w:sz w:val="28"/>
          <w:szCs w:val="28"/>
        </w:rPr>
        <w:t>на основе данных государственного статистического наблюдения территориального органа Федеральной службы государственной статистики по Брянской области.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индикатора № 2 «Количество выполненных самолето-вылетов» определяются на основании отчетности авиапредприятий, осуществляющих пассажирские авиационные перевозки.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индикатора № 3 «Объем отгруженных товаров собственного производства, выполненных работ и услуг собственными силами по обрабатывающим производствам (нарастающим итогом)» определяются на основе данных государственного статистического наблюдения территориального органа Федеральной службы государственной статистики по Брянской области с нарастающим итогом.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Показатели (индикаторы) основных мероприятий (проектов (программ))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индикатора № 4 «Объем экспорта конкурентоспособной промышленной продукции Брянской области» определяется на основе данных государственного статистического наблюдения территориального органа Федеральной службы государственной статистики по Брянской области и Брянской таможни.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индикатора № 5 «Количество реконструированных взлетно-посадочных полос» определяется по результатам выполнения мероприятий в отчетном году.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индикатора № 6 «Процент исполнения, запланированных бюджетных ассигнований» рассчитывается с учетом объема средств, предусмотренных в областном бюджете на реализацию государственной программы, по следующей формуле: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БА</m:t>
            </m:r>
          </m:e>
          <m:sub>
            <m:r>
              <w:rPr>
                <w:rFonts w:ascii="Cambria Math" w:hAnsi="Cambria Math"/>
              </w:rPr>
              <m:t xml:space="preserve">исп</m:t>
            </m:r>
            <m:r>
              <w:rPr>
                <w:rFonts w:ascii="Cambria Math" w:hAnsi="Cambria Math"/>
              </w:rPr>
              <m:t xml:space="preserve">.</m:t>
            </m:r>
          </m:sub>
        </m:sSub>
        <m:r>
          <w:rPr>
            <w:rFonts w:ascii="Cambria Math" w:hAnsi="Cambria Math"/>
          </w:rPr>
          <m:t xml:space="preserve">=</m:t>
        </m:r>
        <m:f>
          <m:num>
            <m:sSub>
              <m:e>
                <m:r>
                  <w:rPr>
                    <w:rFonts w:ascii="Cambria Math" w:hAnsi="Cambria Math"/>
                  </w:rPr>
                  <m:t xml:space="preserve">БА</m:t>
                </m:r>
              </m:e>
              <m:sub>
                <m:r>
                  <w:rPr>
                    <w:rFonts w:ascii="Cambria Math" w:hAnsi="Cambria Math"/>
                  </w:rPr>
                  <m:t xml:space="preserve">план</m:t>
                </m:r>
              </m:sub>
            </m:sSub>
          </m:num>
          <m:den>
            <m:sSub>
              <m:e>
                <m:r>
                  <w:rPr>
                    <w:rFonts w:ascii="Cambria Math" w:hAnsi="Cambria Math"/>
                  </w:rPr>
                  <m:t xml:space="preserve">БА</m:t>
                </m:r>
              </m:e>
              <m:sub>
                <m:r>
                  <w:rPr>
                    <w:rFonts w:ascii="Cambria Math" w:hAnsi="Cambria Math"/>
                  </w:rPr>
                  <m:t xml:space="preserve">факт</m:t>
                </m:r>
              </m:sub>
            </m:sSub>
          </m:den>
        </m:f>
      </m:oMath>
      <w:r>
        <w:rPr>
          <w:rFonts w:ascii="Times New Roman" w:hAnsi="Times New Roman"/>
          <w:spacing w:val="2"/>
          <w:sz w:val="28"/>
          <w:szCs w:val="28"/>
        </w:rPr>
        <w:t xml:space="preserve">  </w:t>
      </w:r>
      <w:r>
        <w:rPr>
          <w:rFonts w:ascii="Times New Roman" w:hAnsi="Times New Roman"/>
          <w:spacing w:val="2"/>
          <w:sz w:val="28"/>
          <w:szCs w:val="28"/>
        </w:rPr>
        <w:t>х 100 %, где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БА</m:t>
            </m:r>
          </m:e>
          <m:sub>
            <m:r>
              <w:rPr>
                <w:rFonts w:ascii="Cambria Math" w:hAnsi="Cambria Math"/>
              </w:rPr>
              <m:t xml:space="preserve">исп</m:t>
            </m:r>
            <m:r>
              <w:rPr>
                <w:rFonts w:ascii="Cambria Math" w:hAnsi="Cambria Math"/>
              </w:rPr>
              <m:t xml:space="preserve">.</m:t>
            </m:r>
          </m:sub>
        </m:sSub>
      </m:oMath>
      <w:r>
        <w:rPr>
          <w:rFonts w:ascii="Times New Roman" w:hAnsi="Times New Roman"/>
          <w:spacing w:val="2"/>
          <w:sz w:val="28"/>
          <w:szCs w:val="28"/>
        </w:rPr>
        <w:t xml:space="preserve"> – </w:t>
      </w:r>
      <w:r>
        <w:rPr>
          <w:rFonts w:ascii="Times New Roman" w:hAnsi="Times New Roman"/>
          <w:spacing w:val="2"/>
          <w:sz w:val="28"/>
          <w:szCs w:val="28"/>
        </w:rPr>
        <w:t>процент исполнения запланированных бюджетных ассигнований, %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БА</m:t>
            </m:r>
          </m:e>
          <m:sub>
            <m:r>
              <w:rPr>
                <w:rFonts w:ascii="Cambria Math" w:hAnsi="Cambria Math"/>
              </w:rPr>
              <m:t xml:space="preserve">план</m:t>
            </m:r>
          </m:sub>
        </m:sSub>
      </m:oMath>
      <w:r>
        <w:rPr>
          <w:rFonts w:ascii="Times New Roman" w:hAnsi="Times New Roman"/>
          <w:spacing w:val="2"/>
          <w:sz w:val="28"/>
          <w:szCs w:val="28"/>
        </w:rPr>
        <w:t xml:space="preserve"> – </w:t>
      </w:r>
      <w:r>
        <w:rPr>
          <w:rFonts w:ascii="Times New Roman" w:hAnsi="Times New Roman"/>
          <w:spacing w:val="2"/>
          <w:sz w:val="28"/>
          <w:szCs w:val="28"/>
        </w:rPr>
        <w:t>запланировано на отчетный период бюджетных ассигнований, руб.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БА</m:t>
            </m:r>
          </m:e>
          <m:sub>
            <m:r>
              <w:rPr>
                <w:rFonts w:ascii="Cambria Math" w:hAnsi="Cambria Math"/>
              </w:rPr>
              <m:t xml:space="preserve">факт</m:t>
            </m:r>
          </m:sub>
        </m:sSub>
      </m:oMath>
      <w:r>
        <w:rPr>
          <w:rFonts w:ascii="Times New Roman" w:hAnsi="Times New Roman"/>
          <w:spacing w:val="2"/>
          <w:sz w:val="28"/>
          <w:szCs w:val="28"/>
        </w:rPr>
        <w:t xml:space="preserve"> – </w:t>
      </w:r>
      <w:r>
        <w:rPr>
          <w:rFonts w:ascii="Times New Roman" w:hAnsi="Times New Roman"/>
          <w:spacing w:val="2"/>
          <w:sz w:val="28"/>
          <w:szCs w:val="28"/>
        </w:rPr>
        <w:t>исполнено за отчетный период бюджетных ассигнований, руб.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Ожидаемыми результатами реализации государственной программы являются снижение количества нарушений норм и правил эксплуатации поднадзорных машин и оборудования, приводящих к травмированию обслуживающего персонала и дорожно-транспортным происшествиям, предотвращение их эксплуатации с превышением норм дымности отработавших газов двигателей.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индикатора № 7 «Доля исполненных в отчетном периоде предписаний об устранении нарушений от общего количества предписаний, которые должны быть исполнены в отчетном периоде» определяется следующим образом:</w:t>
      </w:r>
    </w:p>
    <w:p>
      <w:pPr>
        <w:pStyle w:val="Normal"/>
        <w:spacing w:lineRule="atLeast" w:line="315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  <w:drawing>
          <wp:inline distT="0" distB="0" distL="0" distR="0">
            <wp:extent cx="1900555" cy="516890"/>
            <wp:effectExtent l="0" t="0" r="0" b="0"/>
            <wp:docPr id="1" name="Рисунок 1" descr="Об утверждении государственной програм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б утверждении государственной программы 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51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Rпред - доля исполненных в отчетном периоде предписаний об устранении нарушений от общего количества предписаний, которые должны быть исполнены в отчетном периоде, %;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Qиспл - количество устраненных нарушений в отчетном периоде по вынесенным предписаниям, штук;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Qоб - общее количество вынесенных предписаний об устранении в отчетном периоде нарушений состояния поднадзорной техники, штук.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индикатора № 8 «Доля поднадзорной техники, представленной на техосмотр, от общего количества поднадзорной техники, состоящей на учете» определяется следующим образом:</w:t>
      </w:r>
    </w:p>
    <w:p>
      <w:pPr>
        <w:pStyle w:val="Normal"/>
        <w:spacing w:lineRule="atLeast" w:line="315"/>
        <w:ind w:firstLine="709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drawing>
          <wp:anchor behindDoc="0" distT="0" distB="0" distL="114300" distR="114300" simplePos="0" locked="0" layoutInCell="0" allowOverlap="1" relativeHeight="5">
            <wp:simplePos x="0" y="0"/>
            <wp:positionH relativeFrom="column">
              <wp:posOffset>2210435</wp:posOffset>
            </wp:positionH>
            <wp:positionV relativeFrom="paragraph">
              <wp:posOffset>63500</wp:posOffset>
            </wp:positionV>
            <wp:extent cx="1733550" cy="532765"/>
            <wp:effectExtent l="0" t="0" r="0" b="0"/>
            <wp:wrapSquare wrapText="bothSides"/>
            <wp:docPr id="2" name="Рисунок 4" descr="Об утверждении государственной програм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 descr="Об утверждении государственной программы 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pacing w:val="2"/>
          <w:sz w:val="28"/>
          <w:szCs w:val="28"/>
        </w:rPr>
        <w:br/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Rто - доля поднадзорной техники, представленной на техосмотр, от общего количества поднадзорной техники, состоящей на учете, %;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Qрег - количество машин, состоящих на регистрационном учете, единиц;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Qто - количество техники, представленной на технический осмотр, единиц.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индикатора № 9 «Доля поднадзорной техники, проверенной в процессе эксплуатации» определяется следующим образом: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drawing>
          <wp:anchor behindDoc="0" distT="0" distB="0" distL="114300" distR="114300" simplePos="0" locked="0" layoutInCell="0" allowOverlap="1" relativeHeight="6">
            <wp:simplePos x="0" y="0"/>
            <wp:positionH relativeFrom="column">
              <wp:posOffset>1964055</wp:posOffset>
            </wp:positionH>
            <wp:positionV relativeFrom="paragraph">
              <wp:posOffset>635</wp:posOffset>
            </wp:positionV>
            <wp:extent cx="1900555" cy="564515"/>
            <wp:effectExtent l="0" t="0" r="0" b="0"/>
            <wp:wrapSquare wrapText="bothSides"/>
            <wp:docPr id="3" name="Рисунок 3" descr="Об утверждении государственной програм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Об утверждении государственной программы 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pacing w:val="2"/>
          <w:sz w:val="28"/>
          <w:szCs w:val="28"/>
        </w:rPr>
        <w:br/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Rпэ - доля поднадзорной техники, проверенной в процессе эксплуатации,%;</w:t>
      </w:r>
    </w:p>
    <w:p>
      <w:pPr>
        <w:pStyle w:val="Normal"/>
        <w:spacing w:lineRule="atLeast" w:line="315"/>
        <w:ind w:firstLine="709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Qпровер - количество машин, проверенных в процессе эксплуатации, единиц;</w:t>
      </w:r>
    </w:p>
    <w:p>
      <w:pPr>
        <w:pStyle w:val="Normal"/>
        <w:spacing w:lineRule="atLeast" w:line="315"/>
        <w:ind w:firstLine="709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Qрег - количество машин, состоящих на регистрационном учете, единиц.</w:t>
        <w:br/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индикатора № 10 «Доля поднадзорных машин, у которых в результате проверок выявлены неисправности, нарушающие требования дорожного движения, техники безопасности и охраны окружающей среды» определяется следующим образом:</w:t>
      </w:r>
    </w:p>
    <w:p>
      <w:pPr>
        <w:pStyle w:val="Normal"/>
        <w:spacing w:lineRule="atLeast" w:line="315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  <w:drawing>
          <wp:inline distT="0" distB="0" distL="0" distR="0">
            <wp:extent cx="1964055" cy="564515"/>
            <wp:effectExtent l="0" t="0" r="0" b="0"/>
            <wp:docPr id="4" name="Рисунок 2" descr="Об утверждении государственной програм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2" descr="Об утверждении государственной программы 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Rнар - доля поднадзорных машин, у которых в результате проверок выявлены неисправности, нарушающие требования дорожного движения, техники безопасности и охраны окружающей среды, %;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Qнар - количество машин, проверенных в процессе эксплуатации, у которых были выявлены неисправности, нарушающие требования дорожного движения, техники безопасности и охраны окружающей среды, единиц;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Qпровер - количество машин, проверенных в процессе эксплуатации, единиц.</w:t>
        <w:br/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Источником информации о значениях индикаторов с № 7 по № 10 является официальный сайт инспекции гостехнадзора Брянской области (igtn.debryansk.ru/itogi.html).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индикатора № 11 «Доля автотранспортных предприятий, осуществляющих пассажирские перевозки в пригородном сообщении, оснащённых бортовой навигационной системой «ГЛОНАСС» определяется по формуле:</w:t>
      </w:r>
    </w:p>
    <w:p>
      <w:pPr>
        <w:pStyle w:val="Normal"/>
        <w:spacing w:lineRule="atLeast" w:line="315"/>
        <w:ind w:firstLine="709"/>
        <w:jc w:val="center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/>
        <w:drawing>
          <wp:inline distT="0" distB="0" distL="0" distR="0">
            <wp:extent cx="1828800" cy="469265"/>
            <wp:effectExtent l="0" t="0" r="0" b="0"/>
            <wp:docPr id="5" name="Рисунок 5" descr="Об утверждении государственной программы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Об утверждении государственной программы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Дк – доля автотранспортных предприятий, осуществляющих пассажирские перевозки в пригородном сообщении, оснащённых бортовой навигационной системой «ГЛОНАСС», %;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Кисп – количество автотранспортных предприятий региона, осуществляющих пассажирские перевозки в пригородном сообщении, оснащённых бортовой навигационной системой «ГЛОНАСС», единиц;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К – общее количество автотранспортных предприятий региона, единиц.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Расчетные данные для показателей (индикаторов) государственной программы публикуются на официальном сайте департамента промышленности, транспорта и связи Брянской области (dpts.bryanskprom.ru).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индикатора № 12 «Обеспечение стабильности перевозок пассажиров железнодорожным транспортом» определяется на основании отчетности предприятий, осуществляющих пассажирские перевозки железнодорожным транспортом.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индикатора № 13 «Пассажиропоток» определяются на основании отчетности авиапредприятий, осуществляющих пассажирские авиационные перевозки.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индикатора № 14 «</w:t>
      </w:r>
      <w:r>
        <w:rPr>
          <w:rFonts w:ascii="Times New Roman" w:hAnsi="Times New Roman"/>
          <w:color w:val="000000"/>
          <w:sz w:val="28"/>
          <w:szCs w:val="28"/>
        </w:rPr>
        <w:t>Предоставление займа для развития промышленных предприятий</w:t>
      </w:r>
      <w:r>
        <w:rPr>
          <w:rFonts w:ascii="Times New Roman" w:hAnsi="Times New Roman"/>
          <w:spacing w:val="2"/>
          <w:sz w:val="28"/>
          <w:szCs w:val="28"/>
        </w:rPr>
        <w:t>» подтверждается фактическими данными постоянного мониторинга департамента промышленности, транспорта и связи Брянской области - ответственного исполнителя государственной программы "Развития промышленности, транспорта и связи Брянской области"  (источник данных — сведения департамента экономического развития Брянской области).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Значение индикатора № 15 «Динамика роста объемов отгруженной продукции собственного производства по обрабатывающим производствам в действующих ценах» определяется на основе данных государственного статистического наблюдения территориального органа Федеральной службы государственной статистики по Брянской области.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индикатора № 16 «Количество проведенных выставок продукции промышленных предприятий» определяется на основе данных департамента промышленности, транспорта и связи Брянской области.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Значение индикатора № 17 «Количество созданных новых рабочих мест на промышленных предприятиях (нарастающим итогом)» определяется на основании отчетности промышленных предприятий с нарастающим итогом.  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Значение индикаторов № 18 «</w:t>
      </w:r>
      <w:r>
        <w:rPr>
          <w:rFonts w:eastAsia="Calibri" w:cs="" w:ascii="Times New Roman" w:hAnsi="Times New Roman" w:cstheme="minorBidi" w:eastAsiaTheme="minorHAnsi"/>
          <w:color w:val="000000"/>
          <w:sz w:val="28"/>
          <w:szCs w:val="28"/>
          <w:lang w:eastAsia="en-US"/>
        </w:rPr>
        <w:t>Объем инвестиций в основной капитал (нарастающим итогом) («Обрабатывающие производства»)</w:t>
      </w:r>
      <w:r>
        <w:rPr>
          <w:rFonts w:ascii="Times New Roman" w:hAnsi="Times New Roman"/>
          <w:spacing w:val="2"/>
          <w:sz w:val="28"/>
          <w:szCs w:val="28"/>
        </w:rPr>
        <w:t>» определяется на основе данных государственного статистического наблюдения территориального органа Федеральной службы государственной статистики по Брянской области с нарастающим итогом.</w:t>
      </w:r>
    </w:p>
    <w:p>
      <w:pPr>
        <w:pStyle w:val="Normal"/>
        <w:spacing w:lineRule="atLeast" w:line="315"/>
        <w:ind w:firstLine="709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pacing w:val="2"/>
          <w:sz w:val="28"/>
          <w:szCs w:val="28"/>
        </w:rPr>
        <w:t>Методика расчета значений (индикаторов) содержит ссылки на открытые источники информации, содержащие исходные данные для расчета значений показателей (индикаторов) (за исключением исходных данных, составляющих государственную тайну).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rsid w:val="00e3409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LibreOffice/7.0.1.2$Windows_X86_64 LibreOffice_project/7cbcfc562f6eb6708b5ff7d7397325de9e764452</Application>
  <Pages>5</Pages>
  <Words>808</Words>
  <Characters>6519</Characters>
  <CharactersWithSpaces>7302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2021-06-18T09:40:00Z</dcterms:created>
  <dc:creator>User</dc:creator>
  <dc:description/>
  <dc:language>ru-RU</dc:language>
  <cp:lastModifiedBy/>
  <cp:lastPrinted>2021-10-25T14:19:27Z</cp:lastPrinted>
  <dcterms:modified xsi:type="dcterms:W3CDTF">2021-10-25T14:19:23Z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